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Budget</w:t>
      </w:r>
      <w:r>
        <w:t xml:space="preserve"> </w:t>
      </w:r>
      <w:r>
        <w:t xml:space="preserve">Forecast</w:t>
      </w:r>
      <w:r>
        <w:t xml:space="preserve"> </w:t>
      </w:r>
      <w:r>
        <w:t xml:space="preserve">FY2026–2027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document presents the Centre for Sustainable Development Reform’s budget forecast for the period FY2026 to FY2027. Total revenue is projected to grow 15% year-on-year, driven by expanded government programme funding and new industry partnerships. Expenditure growth is forecast at 12%, preserving a healthy operating surplus.</w:t>
      </w:r>
    </w:p>
    <w:bookmarkEnd w:id="20"/>
    <w:bookmarkStart w:id="21" w:name="revenue-projections"/>
    <w:p>
      <w:pPr>
        <w:pStyle w:val="Heading2"/>
      </w:pPr>
      <w:r>
        <w:t xml:space="preserve">Revenue Projections</w:t>
      </w:r>
    </w:p>
    <w:p>
      <w:pPr>
        <w:pStyle w:val="FirstParagraph"/>
      </w:pPr>
      <w:r>
        <w:t xml:space="preserve">Projected revenue by source across the forecast period: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FY2025 (Actual)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FY2026 (Forecast)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FY2027 (Forecast)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CAGR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Government grants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$9.6M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$10.8M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Industry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$6.0M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Consulting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$1.6M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Other income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$0.5M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$0.6M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$16.5M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$19.7M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$23.0M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18%</w:t>
            </w:r>
          </w:p>
        </w:tc>
      </w:tr>
    </w:tbl>
    <w:p>
      <w:pPr>
        <w:pStyle w:val="BodyText"/>
      </w:pPr>
      <w:r>
        <w:t xml:space="preserve">Government grants remain the largest revenue source, though the proportion is forecast to decline from 51% to 47% as consulting and partnerships grow.</w:t>
      </w:r>
    </w:p>
    <w:bookmarkEnd w:id="21"/>
    <w:bookmarkStart w:id="22" w:name="expenditure-budget"/>
    <w:p>
      <w:pPr>
        <w:pStyle w:val="Heading2"/>
      </w:pPr>
      <w:r>
        <w:t xml:space="preserve">Expenditure Budget</w:t>
      </w:r>
    </w:p>
    <w:p>
      <w:pPr>
        <w:pStyle w:val="FirstParagraph"/>
      </w:pPr>
      <w:r>
        <w:t xml:space="preserve">Planned expenditure by category: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FY2025 (Actual)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FY2026 (Budget)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FY2027 (Budget)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CAGR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Personnel (salaries &amp; benefits)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$10.2M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$11.4M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$12.8M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Research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$2.8M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$3.6M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Infrastructure &amp; 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$1.6M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Travel &amp; 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$0.8M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$0.9M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$1.0M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Professional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$0.3M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$0.4M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$15.3M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$17.5M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$19.6M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13%</w:t>
            </w:r>
          </w:p>
        </w:tc>
      </w:tr>
    </w:tbl>
    <w:bookmarkEnd w:id="22"/>
    <w:bookmarkStart w:id="23" w:name="capital-investments"/>
    <w:p>
      <w:pPr>
        <w:pStyle w:val="Heading2"/>
      </w:pPr>
      <w:r>
        <w:t xml:space="preserve">Capital Investments</w:t>
      </w:r>
    </w:p>
    <w:p>
      <w:pPr>
        <w:pStyle w:val="FirstParagraph"/>
      </w:pPr>
      <w:r>
        <w:t xml:space="preserve">Key capital investment programmes planned for the forecast period: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computing platform</w:t>
      </w:r>
      <w:r>
        <w:t xml:space="preserve"> </w:t>
      </w:r>
      <w:r>
        <w:t xml:space="preserve">($0.5M FY2026) — High-performance computing cluster for climate modelling and data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platform modernisation</w:t>
      </w:r>
      <w:r>
        <w:t xml:space="preserve"> </w:t>
      </w:r>
      <w:r>
        <w:t xml:space="preserve">($0.3M FY2026, $0.2M FY2027) — Migration to cloud-native data infrastructure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Office expansion</w:t>
      </w:r>
      <w:r>
        <w:t xml:space="preserve"> </w:t>
      </w:r>
      <w:r>
        <w:t xml:space="preserve">($0.4M FY2027) — Additional laboratory and collaboration space at Kensington campus</w:t>
      </w:r>
    </w:p>
    <w:bookmarkEnd w:id="23"/>
    <w:bookmarkStart w:id="24" w:name="risk-factors"/>
    <w:p>
      <w:pPr>
        <w:pStyle w:val="Heading2"/>
      </w:pPr>
      <w:r>
        <w:t xml:space="preserve">Risk Factors</w:t>
      </w:r>
    </w:p>
    <w:p>
      <w:pPr>
        <w:pStyle w:val="FirstParagraph"/>
      </w:pPr>
      <w:r>
        <w:t xml:space="preserve">Key risks to the budget forecast: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funding uncertainty</w:t>
      </w:r>
      <w:r>
        <w:t xml:space="preserve"> </w:t>
      </w:r>
      <w:r>
        <w:t xml:space="preserve">— Federal budget decisions in May 2026 may affect grant allocations for FY2027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Foreign exchange exposure</w:t>
      </w:r>
      <w:r>
        <w:t xml:space="preserve"> </w:t>
      </w:r>
      <w:r>
        <w:t xml:space="preserve">— International partnership contracts denominated in USD and EUR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Staffing costs</w:t>
      </w:r>
      <w:r>
        <w:t xml:space="preserve"> </w:t>
      </w:r>
      <w:r>
        <w:t xml:space="preserve">— Competitive market for senior climate researchers may require above-forecast salary adjustments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cost escalation</w:t>
      </w:r>
      <w:r>
        <w:t xml:space="preserve"> </w:t>
      </w:r>
      <w:r>
        <w:t xml:space="preserve">— Cloud computing costs subject to vendor pricing changes</w:t>
      </w:r>
    </w:p>
    <w:p>
      <w:pPr>
        <w:pStyle w:val="Provenance"/>
      </w:pPr>
      <w:r>
        <w:t xml:space="preserve">Revision 6575e0f · Built 8 June 2026</w:t>
      </w:r>
    </w:p>
    <w:bookmarkEnd w:id="24"/>
    <w:sectPr>
      <w:headerReference r:id="rId9" w:type="default"/>
      <w:footerReference r:id="rId10" w:type="default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tabs>
        <w:tab w:val="right" w:pos="9638"/>
      </w:tabs>
      <w:rPr>
        <w:rFonts w:ascii="Roboto Mono" w:hAnsi="Roboto Mono"/>
        <w:sz w:val="16"/>
        <w:color w:val="007882"/>
      </w:rPr>
    </w:pPr>
    <w:r>
      <w:rPr>
        <w:rFonts w:ascii="Roboto Mono" w:hAnsi="Roboto Mono"/>
        <w:sz w:val="16"/>
        <w:color w:val="007882"/>
      </w:rPr>
      <w:t xml:space="preserve">CSDR Research Centre</w:t>
    </w:r>
    <w:r>
      <w:rPr>
        <w:rFonts w:ascii="Roboto Mono" w:hAnsi="Roboto Mono"/>
        <w:sz w:val="16"/>
        <w:color w:val="007882"/>
      </w:rPr>
      <w:tab/>
    </w:r>
    <w:r>
      <w:rPr>
        <w:rFonts w:ascii="Roboto Mono" w:hAnsi="Roboto Mono"/>
        <w:sz w:val="16"/>
        <w:color w:val="007882"/>
      </w:rPr>
      <w:t xml:space="preserve">Page </w:t>
    </w:r>
    <w:r>
      <w:rPr>
        <w:rFonts w:ascii="Roboto Mono" w:hAnsi="Roboto Mono"/>
        <w:sz w:val="16"/>
        <w:color w:val="007882"/>
      </w:rPr>
      <w:fldChar w:fldCharType="begin"/>
    </w:r>
    <w:r>
      <w:rPr>
        <w:rFonts w:ascii="Roboto Mono" w:hAnsi="Roboto Mono"/>
        <w:sz w:val="16"/>
        <w:color w:val="007882"/>
      </w:rPr>
      <w:instrText xml:space="preserve"> PAGE </w:instrText>
    </w:r>
    <w:r>
      <w:rPr>
        <w:rFonts w:ascii="Roboto Mono" w:hAnsi="Roboto Mono"/>
        <w:sz w:val="16"/>
        <w:color w:val="007882"/>
      </w:rPr>
      <w:fldChar w:fldCharType="separate"/>
    </w:r>
    <w:r>
      <w:rPr>
        <w:rFonts w:ascii="Roboto Mono" w:hAnsi="Roboto Mono"/>
        <w:sz w:val="16"/>
        <w:color w:val="007882"/>
      </w:rPr>
      <w:t>1</w:t>
    </w:r>
    <w:r>
      <w:rPr>
        <w:rFonts w:ascii="Roboto Mono" w:hAnsi="Roboto Mono"/>
        <w:sz w:val="16"/>
        <w:color w:val="007882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>
  <w:p>
    <w:pPr>
      <w:jc w:val="right"/>
      <w:rPr>
        <w:rFonts w:ascii="Roboto Mono" w:hAnsi="Roboto Mono"/>
        <w:sz w:val="16"/>
        <w:color w:val="007882"/>
      </w:rPr>
    </w:pPr>
    <w:r>
      <w:rPr>
        <w:rFonts w:ascii="Roboto Mono" w:hAnsi="Roboto Mono"/>
        <w:sz w:val="16"/>
        <w:color w:val="007882"/>
      </w:rPr>
      <w:t xml:space="preserve">Internal · CSDR</w:t>
    </w: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AU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rPr>
      <w:rFonts w:ascii="Roboto" w:cs="Roboto" w:hAnsi="Roboto"/>
      <w:sz w:val="22"/>
      <w:szCs w:val="22"/>
    </w:rPr>
    <w:qFormat/>
  </w:style>
  <w:style w:styleId="BodyText" w:type="paragraph">
    <w:name w:val="Body Text"/>
    <w:rPr>
      <w:rFonts w:ascii="Roboto" w:cs="Roboto" w:hAnsi="Roboto"/>
      <w:sz w:val="22"/>
      <w:szCs w:val="22"/>
    </w:rPr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rPr>
      <w:rFonts w:ascii="Roboto" w:cs="Roboto" w:hAnsi="Roboto"/>
      <w:sz w:val="22"/>
      <w:szCs w:val="22"/>
    </w:rPr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rPr>
      <w:rFonts w:ascii="Roboto" w:cs="Roboto" w:hAnsi="Roboto"/>
      <w:color w:val="007882"/>
      <w:b/>
      <w:bCs/>
      <w:sz w:val="56"/>
      <w:szCs w:val="56"/>
    </w:rPr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rPr>
      <w:rFonts w:ascii="Roboto" w:cs="Roboto" w:hAnsi="Roboto"/>
      <w:color w:val="007882"/>
      <w:b/>
      <w:bCs/>
      <w:sz w:val="44"/>
      <w:szCs w:val="44"/>
    </w:rPr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</w:style>
  <w:style w:styleId="Heading2" w:type="paragraph">
    <w:name w:val="heading 2"/>
    <w:rPr>
      <w:rFonts w:ascii="Roboto" w:cs="Roboto" w:hAnsi="Roboto"/>
      <w:color w:val="007882"/>
      <w:b/>
      <w:bCs/>
      <w:sz w:val="36"/>
      <w:szCs w:val="36"/>
    </w:rPr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</w:style>
  <w:style w:styleId="Heading3" w:type="paragraph">
    <w:name w:val="heading 3"/>
    <w:rPr>
      <w:rFonts w:ascii="Roboto" w:cs="Roboto" w:hAnsi="Roboto"/>
      <w:color w:val="007882"/>
      <w:sz w:val="28"/>
      <w:szCs w:val="28"/>
    </w:rPr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</w:style>
  <w:style w:styleId="Heading4" w:type="paragraph">
    <w:name w:val="heading 4"/>
    <w:rPr>
      <w:rFonts w:ascii="Roboto" w:cs="Roboto" w:hAnsi="Roboto"/>
      <w:color w:val="3a7d6e"/>
      <w:sz w:val="24"/>
      <w:szCs w:val="24"/>
    </w:rPr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rPr>
      <w:rFonts w:ascii="Roboto Mono" w:cs="Roboto Mono" w:hAnsi="Roboto Mono"/>
      <w:sz w:val="18"/>
      <w:szCs w:val="18"/>
    </w:rPr>
    <w:basedOn w:val="BodyTextChar"/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rPr>
      <w:rFonts w:ascii="Roboto" w:cs="Roboto" w:hAnsi="Roboto"/>
      <w:color w:val="007882"/>
      <w:b/>
      <w:bCs/>
      <w:sz w:val="28"/>
      <w:szCs w:val="28"/>
    </w:rPr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Provenance">
    <w:name w:val="Provenance"/>
    <w:basedOn w:val="BodyText"/>
    <w:qFormat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Forecast FY2026–2027</dc:title>
  <dc:creator/>
  <cp:keywords/>
  <dcterms:created xsi:type="dcterms:W3CDTF">2026-06-08T00:23:07Z</dcterms:created>
  <dcterms:modified xsi:type="dcterms:W3CDTF">2026-06-08T00:23:07Z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type">
    <vt:lpwstr>report</vt:lpwstr>
  </property>
  <property fmtid="{D5CDD505-2E9C-101B-9397-08002B2CF9AE}" pid="3" name="outputs">
    <vt:lpwstr/>
  </property>
  <property fmtid="{D5CDD505-2E9C-101B-9397-08002B2CF9AE}" pid="4" name="project">
    <vt:lpwstr>finance-dashboard</vt:lpwstr>
  </property>
  <property fmtid="{D5CDD505-2E9C-101B-9397-08002B2CF9AE}" pid="5" name="r2_asset_path">
    <vt:lpwstr>assets/finance-dashboard</vt:lpwstr>
  </property>
  <property fmtid="{D5CDD505-2E9C-101B-9397-08002B2CF9AE}" pid="6" name="sidebar">
    <vt:lpwstr/>
  </property>
  <property fmtid="{D5CDD505-2E9C-101B-9397-08002B2CF9AE}" pid="7" name="sidebar_category">
    <vt:lpwstr>operations</vt:lpwstr>
  </property>
  <property fmtid="{D5CDD505-2E9C-101B-9397-08002B2CF9AE}" pid="8" name="status">
    <vt:lpwstr>published</vt:lpwstr>
  </property>
  <property fmtid="{D5CDD505-2E9C-101B-9397-08002B2CF9AE}" pid="9" name="visibility">
    <vt:lpwstr>internal</vt:lpwstr>
  </property>
</Properties>
</file>