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Climate</w:t>
      </w:r>
      <w:r>
        <w:t xml:space="preserve"> </w:t>
      </w:r>
      <w:r>
        <w:t xml:space="preserve">Risk</w:t>
      </w:r>
      <w:r>
        <w:t xml:space="preserve"> </w:t>
      </w:r>
      <w:r>
        <w:t xml:space="preserve">Assessment</w:t>
      </w:r>
      <w:r>
        <w:t xml:space="preserve"> </w:t>
      </w:r>
      <w:r>
        <w:t xml:space="preserve">Q1</w:t>
      </w:r>
      <w:r>
        <w:t xml:space="preserve"> </w:t>
      </w:r>
      <w:r>
        <w:t xml:space="preserve">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Global surface temperatures exceeded the 1.5C threshold for the third consecutive quarter, with significant implications for Australian agricultural productivity and coastal infrastructure.</w:t>
      </w:r>
    </w:p>
    <w:bookmarkEnd w:id="20"/>
    <w:bookmarkStart w:id="23" w:name="key-findings"/>
    <w:p>
      <w:pPr>
        <w:pStyle w:val="Heading2"/>
      </w:pPr>
      <w:r>
        <w:t xml:space="preserve">Key Findings</w:t>
      </w:r>
    </w:p>
    <w:bookmarkStart w:id="21" w:name="temperature-anomalies"/>
    <w:p>
      <w:pPr>
        <w:pStyle w:val="Heading3"/>
      </w:pPr>
      <w:r>
        <w:t xml:space="preserve">Temperature Anomalies</w:t>
      </w:r>
    </w:p>
    <w:p>
      <w:pPr>
        <w:pStyle w:val="FirstParagraph"/>
      </w:pPr>
      <w:r>
        <w:t xml:space="preserve">Mean surface temperature anomaly for Q1 2026 reached +1.62C above pre-industrial baseline, marking the highest quarterly average on record for the Southern Hemisphere.</w:t>
      </w:r>
    </w:p>
    <w:bookmarkEnd w:id="21"/>
    <w:bookmarkStart w:id="22" w:name="precipitation-patterns"/>
    <w:p>
      <w:pPr>
        <w:pStyle w:val="Heading3"/>
      </w:pPr>
      <w:r>
        <w:t xml:space="preserve">Precipitation Patterns</w:t>
      </w:r>
    </w:p>
    <w:p>
      <w:pPr>
        <w:pStyle w:val="FirstParagraph"/>
      </w:pPr>
      <w:r>
        <w:t xml:space="preserve">Rainfall distribution showed increased variability, with:</w:t>
      </w:r>
      <w:r>
        <w:t xml:space="preserve"> </w:t>
      </w:r>
      <w:r>
        <w:t xml:space="preserve">- 23% above-average precipitation in northern tropical regions</w:t>
      </w:r>
      <w:r>
        <w:t xml:space="preserve"> </w:t>
      </w:r>
      <w:r>
        <w:t xml:space="preserve">- 18% below-average precipitation in south-eastern agricultural zones</w:t>
      </w:r>
      <w:r>
        <w:t xml:space="preserve"> </w:t>
      </w:r>
      <w:r>
        <w:t xml:space="preserve">- Record low snowpack in the Australian Alps</w:t>
      </w:r>
    </w:p>
    <w:bookmarkEnd w:id="22"/>
    <w:bookmarkEnd w:id="23"/>
    <w:bookmarkStart w:id="24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Three policy intervention domains require immediate attention: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transition acceleration</w:t>
      </w:r>
      <w:r>
        <w:t xml:space="preserve"> </w:t>
      </w:r>
      <w:r>
        <w:t xml:space="preserve">— Current trajectory insufficient to meet 2030 targets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Agricultural adaptation funding</w:t>
      </w:r>
      <w:r>
        <w:t xml:space="preserve"> </w:t>
      </w:r>
      <w:r>
        <w:t xml:space="preserve">— Drought resilience programmes need 40% budget increase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Coastal infrastructure resilience</w:t>
      </w:r>
      <w:r>
        <w:t xml:space="preserve"> </w:t>
      </w:r>
      <w:r>
        <w:t xml:space="preserve">— Sea-level rise projections require updated planning codes</w:t>
      </w:r>
    </w:p>
    <w:p>
      <w:pPr>
        <w:pStyle w:val="Provenance"/>
      </w:pPr>
      <w:r>
        <w:t xml:space="preserve">Revision 6575e0f · Built 8 June 2026</w:t>
      </w:r>
    </w:p>
    <w:bookmarkEnd w:id="24"/>
    <w:sectPr>
      <w:headerReference r:id="rId9" w:type="default"/>
      <w:footerReference r:id="rId10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tabs>
        <w:tab w:val="right" w:pos="9638"/>
      </w:tabs>
      <w:rPr>
        <w:rFonts w:ascii="Roboto Mono" w:hAnsi="Roboto Mono"/>
        <w:sz w:val="16"/>
        <w:color w:val="007882"/>
      </w:rPr>
    </w:pPr>
    <w:r>
      <w:rPr>
        <w:rFonts w:ascii="Roboto Mono" w:hAnsi="Roboto Mono"/>
        <w:sz w:val="16"/>
        <w:color w:val="007882"/>
      </w:rPr>
      <w:t xml:space="preserve">CSDR Research Centre</w:t>
    </w:r>
    <w:r>
      <w:rPr>
        <w:rFonts w:ascii="Roboto Mono" w:hAnsi="Roboto Mono"/>
        <w:sz w:val="16"/>
        <w:color w:val="007882"/>
      </w:rPr>
      <w:tab/>
    </w:r>
    <w:r>
      <w:rPr>
        <w:rFonts w:ascii="Roboto Mono" w:hAnsi="Roboto Mono"/>
        <w:sz w:val="16"/>
        <w:color w:val="007882"/>
      </w:rPr>
      <w:t xml:space="preserve">Page </w:t>
    </w:r>
    <w:r>
      <w:rPr>
        <w:rFonts w:ascii="Roboto Mono" w:hAnsi="Roboto Mono"/>
        <w:sz w:val="16"/>
        <w:color w:val="007882"/>
      </w:rPr>
      <w:fldChar w:fldCharType="begin"/>
    </w:r>
    <w:r>
      <w:rPr>
        <w:rFonts w:ascii="Roboto Mono" w:hAnsi="Roboto Mono"/>
        <w:sz w:val="16"/>
        <w:color w:val="007882"/>
      </w:rPr>
      <w:instrText xml:space="preserve"> PAGE </w:instrText>
    </w:r>
    <w:r>
      <w:rPr>
        <w:rFonts w:ascii="Roboto Mono" w:hAnsi="Roboto Mono"/>
        <w:sz w:val="16"/>
        <w:color w:val="007882"/>
      </w:rPr>
      <w:fldChar w:fldCharType="separate"/>
    </w:r>
    <w:r>
      <w:rPr>
        <w:rFonts w:ascii="Roboto Mono" w:hAnsi="Roboto Mono"/>
        <w:sz w:val="16"/>
        <w:color w:val="007882"/>
      </w:rPr>
      <w:t>1</w:t>
    </w:r>
    <w:r>
      <w:rPr>
        <w:rFonts w:ascii="Roboto Mono" w:hAnsi="Roboto Mono"/>
        <w:sz w:val="16"/>
        <w:color w:val="007882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>
  <w:p>
    <w:pPr>
      <w:jc w:val="right"/>
      <w:rPr>
        <w:rFonts w:ascii="Roboto Mono" w:hAnsi="Roboto Mono"/>
        <w:sz w:val="16"/>
        <w:color w:val="007882"/>
      </w:rPr>
    </w:pPr>
    <w:r>
      <w:rPr>
        <w:rFonts w:ascii="Roboto Mono" w:hAnsi="Roboto Mono"/>
        <w:sz w:val="16"/>
        <w:color w:val="007882"/>
      </w:rPr>
      <w:t xml:space="preserve">Internal · CSDR</w:t>
    </w: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A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rPr>
      <w:rFonts w:ascii="Roboto" w:cs="Roboto" w:hAnsi="Roboto"/>
      <w:sz w:val="22"/>
      <w:szCs w:val="22"/>
    </w:rPr>
    <w:qFormat/>
  </w:style>
  <w:style w:styleId="BodyText" w:type="paragraph">
    <w:name w:val="Body Text"/>
    <w:rPr>
      <w:rFonts w:ascii="Roboto" w:cs="Roboto" w:hAnsi="Roboto"/>
      <w:sz w:val="22"/>
      <w:szCs w:val="22"/>
    </w:rPr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rPr>
      <w:rFonts w:ascii="Roboto" w:cs="Roboto" w:hAnsi="Roboto"/>
      <w:sz w:val="22"/>
      <w:szCs w:val="22"/>
    </w:rPr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rPr>
      <w:rFonts w:ascii="Roboto" w:cs="Roboto" w:hAnsi="Roboto"/>
      <w:color w:val="007882"/>
      <w:b/>
      <w:bCs/>
      <w:sz w:val="56"/>
      <w:szCs w:val="56"/>
    </w:rPr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rPr>
      <w:rFonts w:ascii="Roboto" w:cs="Roboto" w:hAnsi="Roboto"/>
      <w:color w:val="007882"/>
      <w:b/>
      <w:bCs/>
      <w:sz w:val="44"/>
      <w:szCs w:val="44"/>
    </w:rPr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</w:style>
  <w:style w:styleId="Heading2" w:type="paragraph">
    <w:name w:val="heading 2"/>
    <w:rPr>
      <w:rFonts w:ascii="Roboto" w:cs="Roboto" w:hAnsi="Roboto"/>
      <w:color w:val="007882"/>
      <w:b/>
      <w:bCs/>
      <w:sz w:val="36"/>
      <w:szCs w:val="36"/>
    </w:rPr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</w:style>
  <w:style w:styleId="Heading3" w:type="paragraph">
    <w:name w:val="heading 3"/>
    <w:rPr>
      <w:rFonts w:ascii="Roboto" w:cs="Roboto" w:hAnsi="Roboto"/>
      <w:color w:val="007882"/>
      <w:sz w:val="28"/>
      <w:szCs w:val="28"/>
    </w:rPr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</w:style>
  <w:style w:styleId="Heading4" w:type="paragraph">
    <w:name w:val="heading 4"/>
    <w:rPr>
      <w:rFonts w:ascii="Roboto" w:cs="Roboto" w:hAnsi="Roboto"/>
      <w:color w:val="3a7d6e"/>
      <w:sz w:val="24"/>
      <w:szCs w:val="24"/>
    </w:rPr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rPr>
      <w:rFonts w:ascii="Roboto Mono" w:cs="Roboto Mono" w:hAnsi="Roboto Mono"/>
      <w:sz w:val="18"/>
      <w:szCs w:val="18"/>
    </w:rPr>
    <w:basedOn w:val="BodyTextChar"/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rPr>
      <w:rFonts w:ascii="Roboto" w:cs="Roboto" w:hAnsi="Roboto"/>
      <w:color w:val="007882"/>
      <w:b/>
      <w:bCs/>
      <w:sz w:val="28"/>
      <w:szCs w:val="28"/>
    </w:rPr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Provenance">
    <w:name w:val="Provenance"/>
    <w:basedOn w:val="BodyText"/>
    <w:qFormat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Climate Risk Assessment Q1 2026</dc:title>
  <dc:creator/>
  <cp:keywords/>
  <dcterms:created xsi:type="dcterms:W3CDTF">2026-06-08T00:23:07Z</dcterms:created>
  <dcterms:modified xsi:type="dcterms:W3CDTF">2026-06-08T00:23:07Z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type">
    <vt:lpwstr>report</vt:lpwstr>
  </property>
  <property fmtid="{D5CDD505-2E9C-101B-9397-08002B2CF9AE}" pid="3" name="outputs">
    <vt:lpwstr/>
  </property>
  <property fmtid="{D5CDD505-2E9C-101B-9397-08002B2CF9AE}" pid="4" name="project">
    <vt:lpwstr>climate-risk</vt:lpwstr>
  </property>
  <property fmtid="{D5CDD505-2E9C-101B-9397-08002B2CF9AE}" pid="5" name="r2_asset_path">
    <vt:lpwstr>assets/climate-risk</vt:lpwstr>
  </property>
  <property fmtid="{D5CDD505-2E9C-101B-9397-08002B2CF9AE}" pid="6" name="sidebar">
    <vt:lpwstr/>
  </property>
  <property fmtid="{D5CDD505-2E9C-101B-9397-08002B2CF9AE}" pid="7" name="sidebar_category">
    <vt:lpwstr>projects</vt:lpwstr>
  </property>
  <property fmtid="{D5CDD505-2E9C-101B-9397-08002B2CF9AE}" pid="8" name="status">
    <vt:lpwstr>published</vt:lpwstr>
  </property>
  <property fmtid="{D5CDD505-2E9C-101B-9397-08002B2CF9AE}" pid="9" name="visibility">
    <vt:lpwstr>public</vt:lpwstr>
  </property>
</Properties>
</file>