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Policy</w:t>
      </w:r>
      <w:r>
        <w:t xml:space="preserve"> </w:t>
      </w:r>
      <w:r>
        <w:t xml:space="preserve">Brief</w:t>
      </w:r>
      <w:r>
        <w:t xml:space="preserve"> </w:t>
      </w:r>
      <w:r>
        <w:t xml:space="preserve">—</w:t>
      </w:r>
      <w:r>
        <w:t xml:space="preserve"> </w:t>
      </w:r>
      <w:r>
        <w:t xml:space="preserve">Climate</w:t>
      </w:r>
      <w:r>
        <w:t xml:space="preserve"> </w:t>
      </w:r>
      <w:r>
        <w:t xml:space="preserve">Adaptation</w:t>
      </w:r>
      <w:r>
        <w:t xml:space="preserve"> </w:t>
      </w:r>
      <w:r>
        <w:t xml:space="preserve">in</w:t>
      </w:r>
      <w:r>
        <w:t xml:space="preserve"> </w:t>
      </w:r>
      <w:r>
        <w:t xml:space="preserve">Australia</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0" w:name="context"/>
    <w:p>
      <w:pPr>
        <w:pStyle w:val="Heading2"/>
      </w:pPr>
      <w:r>
        <w:t xml:space="preserve">Context</w:t>
      </w:r>
    </w:p>
    <w:p>
      <w:pPr>
        <w:pStyle w:val="FirstParagraph"/>
      </w:pPr>
      <w:r>
        <w:t xml:space="preserve">Australia faces escalating climate impacts that require coordinated adaptation policy across all levels of government. This policy brief synthesises findings from CSDR’s Q1 2026 climate risk assessment programme and identifies priority adaptation domains for immediate policy attention.</w:t>
      </w:r>
    </w:p>
    <w:p>
      <w:pPr>
        <w:pStyle w:val="BodyText"/>
      </w:pPr>
      <w:r>
        <w:t xml:space="preserve">Current climate trajectories indicate that Australian mean temperatures will exceed 1.5°C above pre-industrial levels within the decade, with disproportionate impacts on agriculture, coastal communities, and public health systems.</w:t>
      </w:r>
    </w:p>
    <w:bookmarkEnd w:id="20"/>
    <w:bookmarkStart w:id="24" w:name="key-findings"/>
    <w:p>
      <w:pPr>
        <w:pStyle w:val="Heading2"/>
      </w:pPr>
      <w:r>
        <w:t xml:space="preserve">Key Findings</w:t>
      </w:r>
    </w:p>
    <w:bookmarkStart w:id="21" w:name="agricultural-adaptation"/>
    <w:p>
      <w:pPr>
        <w:pStyle w:val="Heading3"/>
      </w:pPr>
      <w:r>
        <w:t xml:space="preserve">Agricultural Adaptation</w:t>
      </w:r>
    </w:p>
    <w:p>
      <w:pPr>
        <w:pStyle w:val="FirstParagraph"/>
      </w:pPr>
      <w:r>
        <w:t xml:space="preserve">Australian agricultural productivity is under increasing pressure from changing rainfall patterns and rising temperatures.</w:t>
      </w:r>
    </w:p>
    <w:p>
      <w:pPr>
        <w:numPr>
          <w:ilvl w:val="0"/>
          <w:numId w:val="1001"/>
        </w:numPr>
        <w:pStyle w:val="Compact"/>
      </w:pPr>
      <w:r>
        <w:t xml:space="preserve">South-eastern cropping zones experienced 18% below-average rainfall in Q1 2026</w:t>
      </w:r>
    </w:p>
    <w:p>
      <w:pPr>
        <w:numPr>
          <w:ilvl w:val="0"/>
          <w:numId w:val="1001"/>
        </w:numPr>
        <w:pStyle w:val="Compact"/>
      </w:pPr>
      <w:r>
        <w:t xml:space="preserve">Heat stress events reduced livestock productivity by an estimated 12% in northern Queensland</w:t>
      </w:r>
    </w:p>
    <w:p>
      <w:pPr>
        <w:numPr>
          <w:ilvl w:val="0"/>
          <w:numId w:val="1001"/>
        </w:numPr>
        <w:pStyle w:val="Compact"/>
      </w:pPr>
      <w:r>
        <w:t xml:space="preserve">Drought-resilient crop varieties currently account for only 15% of total plantings</w:t>
      </w:r>
    </w:p>
    <w:p>
      <w:pPr>
        <w:numPr>
          <w:ilvl w:val="0"/>
          <w:numId w:val="1001"/>
        </w:numPr>
        <w:pStyle w:val="Compact"/>
      </w:pPr>
      <w:r>
        <w:t xml:space="preserve">Adaptation investment of $400M annually could offset 60% of projected yield losses by 2035</w:t>
      </w:r>
    </w:p>
    <w:bookmarkEnd w:id="21"/>
    <w:bookmarkStart w:id="22" w:name="coastal-infrastructure"/>
    <w:p>
      <w:pPr>
        <w:pStyle w:val="Heading3"/>
      </w:pPr>
      <w:r>
        <w:t xml:space="preserve">Coastal Infrastructure</w:t>
      </w:r>
    </w:p>
    <w:p>
      <w:pPr>
        <w:pStyle w:val="FirstParagraph"/>
      </w:pPr>
      <w:r>
        <w:t xml:space="preserve">Sea-level rise and intensifying storm surge events present growing risks to coastal settlements and infrastructure.</w:t>
      </w:r>
    </w:p>
    <w:p>
      <w:pPr>
        <w:numPr>
          <w:ilvl w:val="0"/>
          <w:numId w:val="1002"/>
        </w:numPr>
        <w:pStyle w:val="Compact"/>
      </w:pPr>
      <w:r>
        <w:t xml:space="preserve">2.1 million Australians live in areas exposed to coastal flooding under 2050 projections</w:t>
      </w:r>
    </w:p>
    <w:p>
      <w:pPr>
        <w:numPr>
          <w:ilvl w:val="0"/>
          <w:numId w:val="1002"/>
        </w:numPr>
        <w:pStyle w:val="Compact"/>
      </w:pPr>
      <w:r>
        <w:t xml:space="preserve">Estimated replacement value of at-risk infrastructure exceeds $120B nationally</w:t>
      </w:r>
    </w:p>
    <w:p>
      <w:pPr>
        <w:numPr>
          <w:ilvl w:val="0"/>
          <w:numId w:val="1002"/>
        </w:numPr>
        <w:pStyle w:val="Compact"/>
      </w:pPr>
      <w:r>
        <w:t xml:space="preserve">Current adaptation spending addresses less than 5% of identified vulnerability</w:t>
      </w:r>
    </w:p>
    <w:p>
      <w:pPr>
        <w:numPr>
          <w:ilvl w:val="0"/>
          <w:numId w:val="1002"/>
        </w:numPr>
        <w:pStyle w:val="Compact"/>
      </w:pPr>
      <w:r>
        <w:t xml:space="preserve">Managed retreat programmes require lead times of 10–15 years for effective implementation</w:t>
      </w:r>
    </w:p>
    <w:bookmarkEnd w:id="22"/>
    <w:bookmarkStart w:id="23" w:name="health-system-preparedness"/>
    <w:p>
      <w:pPr>
        <w:pStyle w:val="Heading3"/>
      </w:pPr>
      <w:r>
        <w:t xml:space="preserve">Health System Preparedness</w:t>
      </w:r>
    </w:p>
    <w:p>
      <w:pPr>
        <w:pStyle w:val="FirstParagraph"/>
      </w:pPr>
      <w:r>
        <w:t xml:space="preserve">Climate-related health impacts are increasing in frequency and severity across the Australian population.</w:t>
      </w:r>
    </w:p>
    <w:p>
      <w:pPr>
        <w:numPr>
          <w:ilvl w:val="0"/>
          <w:numId w:val="1003"/>
        </w:numPr>
        <w:pStyle w:val="Compact"/>
      </w:pPr>
      <w:r>
        <w:t xml:space="preserve">Heat-related emergency presentations increased 35% over the past five years</w:t>
      </w:r>
    </w:p>
    <w:p>
      <w:pPr>
        <w:numPr>
          <w:ilvl w:val="0"/>
          <w:numId w:val="1003"/>
        </w:numPr>
        <w:pStyle w:val="Compact"/>
      </w:pPr>
      <w:r>
        <w:t xml:space="preserve">Vector-borne disease range is expanding southward at approximately 50 km per decade</w:t>
      </w:r>
    </w:p>
    <w:p>
      <w:pPr>
        <w:numPr>
          <w:ilvl w:val="0"/>
          <w:numId w:val="1003"/>
        </w:numPr>
        <w:pStyle w:val="Compact"/>
      </w:pPr>
      <w:r>
        <w:t xml:space="preserve">Mental health impacts from climate-related disasters affect an estimated 1 in 5 affected individuals</w:t>
      </w:r>
    </w:p>
    <w:p>
      <w:pPr>
        <w:numPr>
          <w:ilvl w:val="0"/>
          <w:numId w:val="1003"/>
        </w:numPr>
        <w:pStyle w:val="Compact"/>
      </w:pPr>
      <w:r>
        <w:t xml:space="preserve">Health system adaptation requires integrated early warning systems and surge capacity planning</w:t>
      </w:r>
    </w:p>
    <w:bookmarkEnd w:id="23"/>
    <w:bookmarkEnd w:id="24"/>
    <w:bookmarkStart w:id="25" w:name="recommendations"/>
    <w:p>
      <w:pPr>
        <w:pStyle w:val="Heading2"/>
      </w:pPr>
      <w:r>
        <w:t xml:space="preserve">Recommendations</w:t>
      </w:r>
    </w:p>
    <w:p>
      <w:pPr>
        <w:pStyle w:val="FirstParagraph"/>
      </w:pPr>
      <w:r>
        <w:t xml:space="preserve">Priority recommendations for Australian climate adaptation policy:</w:t>
      </w:r>
    </w:p>
    <w:tbl>
      <w:tblPr>
        <w:tblStyle w:val="Table"/>
        <w:tblW w:type="pct" w:w="5000"/>
        <w:tblLook w:firstRow="1" w:lastRow="0" w:firstColumn="0" w:lastColumn="0" w:noHBand="0" w:noVBand="0" w:val="0020"/>
        <w:jc w:val="start"/>
      </w:tblPr>
      <w:tblGrid>
        <w:gridCol w:w="1377"/>
        <w:gridCol w:w="2582"/>
        <w:gridCol w:w="2066"/>
        <w:gridCol w:w="1893"/>
      </w:tblGrid>
      <w:tr>
        <w:trPr>
          <w:tblHeader w:val="true"/>
        </w:trPr>
        <w:tc>
          <w:tcPr/>
          <w:p>
            <w:pPr>
              <w:pStyle w:val="Compact"/>
              <w:jc w:val="left"/>
            </w:pPr>
            <w:r>
              <w:t xml:space="preserve">Domain</w:t>
            </w:r>
          </w:p>
        </w:tc>
        <w:tc>
          <w:tcPr/>
          <w:p>
            <w:pPr>
              <w:pStyle w:val="Compact"/>
              <w:jc w:val="left"/>
            </w:pPr>
            <w:r>
              <w:t xml:space="preserve">Recommendation</w:t>
            </w:r>
          </w:p>
        </w:tc>
        <w:tc>
          <w:tcPr/>
          <w:p>
            <w:pPr>
              <w:pStyle w:val="Compact"/>
              <w:jc w:val="left"/>
            </w:pPr>
            <w:r>
              <w:t xml:space="preserve">Investment</w:t>
            </w:r>
          </w:p>
        </w:tc>
        <w:tc>
          <w:tcPr/>
          <w:p>
            <w:pPr>
              <w:pStyle w:val="Compact"/>
              <w:jc w:val="left"/>
            </w:pPr>
            <w:r>
              <w:t xml:space="preserve">Timeframe</w:t>
            </w:r>
          </w:p>
        </w:tc>
      </w:tr>
      <w:tr>
        <w:tc>
          <w:tcPr/>
          <w:p>
            <w:pPr>
              <w:pStyle w:val="Compact"/>
              <w:jc w:val="left"/>
            </w:pPr>
            <w:r>
              <w:t xml:space="preserve">Agriculture</w:t>
            </w:r>
          </w:p>
        </w:tc>
        <w:tc>
          <w:tcPr/>
          <w:p>
            <w:pPr>
              <w:pStyle w:val="Compact"/>
              <w:jc w:val="left"/>
            </w:pPr>
            <w:r>
              <w:t xml:space="preserve">Expand drought-resilient crop adoption to 40% of plantings</w:t>
            </w:r>
          </w:p>
        </w:tc>
        <w:tc>
          <w:tcPr/>
          <w:p>
            <w:pPr>
              <w:pStyle w:val="Compact"/>
              <w:jc w:val="left"/>
            </w:pPr>
            <w:r>
              <w:t xml:space="preserve">$400M/year</w:t>
            </w:r>
          </w:p>
        </w:tc>
        <w:tc>
          <w:tcPr/>
          <w:p>
            <w:pPr>
              <w:pStyle w:val="Compact"/>
              <w:jc w:val="left"/>
            </w:pPr>
            <w:r>
              <w:t xml:space="preserve">2026–2030</w:t>
            </w:r>
          </w:p>
        </w:tc>
      </w:tr>
      <w:tr>
        <w:tc>
          <w:tcPr/>
          <w:p>
            <w:pPr>
              <w:pStyle w:val="Compact"/>
              <w:jc w:val="left"/>
            </w:pPr>
            <w:r>
              <w:t xml:space="preserve">Agriculture</w:t>
            </w:r>
          </w:p>
        </w:tc>
        <w:tc>
          <w:tcPr/>
          <w:p>
            <w:pPr>
              <w:pStyle w:val="Compact"/>
              <w:jc w:val="left"/>
            </w:pPr>
            <w:r>
              <w:t xml:space="preserve">Establish regional adaptation hubs for extension services</w:t>
            </w:r>
          </w:p>
        </w:tc>
        <w:tc>
          <w:tcPr/>
          <w:p>
            <w:pPr>
              <w:pStyle w:val="Compact"/>
              <w:jc w:val="left"/>
            </w:pPr>
            <w:r>
              <w:t xml:space="preserve">$50M/year</w:t>
            </w:r>
          </w:p>
        </w:tc>
        <w:tc>
          <w:tcPr/>
          <w:p>
            <w:pPr>
              <w:pStyle w:val="Compact"/>
              <w:jc w:val="left"/>
            </w:pPr>
            <w:r>
              <w:t xml:space="preserve">2026–2028</w:t>
            </w:r>
          </w:p>
        </w:tc>
      </w:tr>
      <w:tr>
        <w:tc>
          <w:tcPr/>
          <w:p>
            <w:pPr>
              <w:pStyle w:val="Compact"/>
              <w:jc w:val="left"/>
            </w:pPr>
            <w:r>
              <w:t xml:space="preserve">Coastal</w:t>
            </w:r>
          </w:p>
        </w:tc>
        <w:tc>
          <w:tcPr/>
          <w:p>
            <w:pPr>
              <w:pStyle w:val="Compact"/>
              <w:jc w:val="left"/>
            </w:pPr>
            <w:r>
              <w:t xml:space="preserve">Develop national coastal adaptation framework</w:t>
            </w:r>
          </w:p>
        </w:tc>
        <w:tc>
          <w:tcPr/>
          <w:p>
            <w:pPr>
              <w:pStyle w:val="Compact"/>
              <w:jc w:val="left"/>
            </w:pPr>
            <w:r>
              <w:t xml:space="preserve">$20M</w:t>
            </w:r>
          </w:p>
        </w:tc>
        <w:tc>
          <w:tcPr/>
          <w:p>
            <w:pPr>
              <w:pStyle w:val="Compact"/>
              <w:jc w:val="left"/>
            </w:pPr>
            <w:r>
              <w:t xml:space="preserve">2026–2027</w:t>
            </w:r>
          </w:p>
        </w:tc>
      </w:tr>
      <w:tr>
        <w:tc>
          <w:tcPr/>
          <w:p>
            <w:pPr>
              <w:pStyle w:val="Compact"/>
              <w:jc w:val="left"/>
            </w:pPr>
            <w:r>
              <w:t xml:space="preserve">Coastal</w:t>
            </w:r>
          </w:p>
        </w:tc>
        <w:tc>
          <w:tcPr/>
          <w:p>
            <w:pPr>
              <w:pStyle w:val="Compact"/>
              <w:jc w:val="left"/>
            </w:pPr>
            <w:r>
              <w:t xml:space="preserve">Fund local government managed retreat planning</w:t>
            </w:r>
          </w:p>
        </w:tc>
        <w:tc>
          <w:tcPr/>
          <w:p>
            <w:pPr>
              <w:pStyle w:val="Compact"/>
              <w:jc w:val="left"/>
            </w:pPr>
            <w:r>
              <w:t xml:space="preserve">$200M</w:t>
            </w:r>
          </w:p>
        </w:tc>
        <w:tc>
          <w:tcPr/>
          <w:p>
            <w:pPr>
              <w:pStyle w:val="Compact"/>
              <w:jc w:val="left"/>
            </w:pPr>
            <w:r>
              <w:t xml:space="preserve">2026–2030</w:t>
            </w:r>
          </w:p>
        </w:tc>
      </w:tr>
      <w:tr>
        <w:tc>
          <w:tcPr/>
          <w:p>
            <w:pPr>
              <w:pStyle w:val="Compact"/>
              <w:jc w:val="left"/>
            </w:pPr>
            <w:r>
              <w:t xml:space="preserve">Health</w:t>
            </w:r>
          </w:p>
        </w:tc>
        <w:tc>
          <w:tcPr/>
          <w:p>
            <w:pPr>
              <w:pStyle w:val="Compact"/>
              <w:jc w:val="left"/>
            </w:pPr>
            <w:r>
              <w:t xml:space="preserve">Deploy heat-health early warning systems nationally</w:t>
            </w:r>
          </w:p>
        </w:tc>
        <w:tc>
          <w:tcPr/>
          <w:p>
            <w:pPr>
              <w:pStyle w:val="Compact"/>
              <w:jc w:val="left"/>
            </w:pPr>
            <w:r>
              <w:t xml:space="preserve">$30M</w:t>
            </w:r>
          </w:p>
        </w:tc>
        <w:tc>
          <w:tcPr/>
          <w:p>
            <w:pPr>
              <w:pStyle w:val="Compact"/>
              <w:jc w:val="left"/>
            </w:pPr>
            <w:r>
              <w:t xml:space="preserve">2026–2028</w:t>
            </w:r>
          </w:p>
        </w:tc>
      </w:tr>
      <w:tr>
        <w:tc>
          <w:tcPr/>
          <w:p>
            <w:pPr>
              <w:pStyle w:val="Compact"/>
              <w:jc w:val="left"/>
            </w:pPr>
            <w:r>
              <w:t xml:space="preserve">Health</w:t>
            </w:r>
          </w:p>
        </w:tc>
        <w:tc>
          <w:tcPr/>
          <w:p>
            <w:pPr>
              <w:pStyle w:val="Compact"/>
              <w:jc w:val="left"/>
            </w:pPr>
            <w:r>
              <w:t xml:space="preserve">Build climate-health surveillance capacity</w:t>
            </w:r>
          </w:p>
        </w:tc>
        <w:tc>
          <w:tcPr/>
          <w:p>
            <w:pPr>
              <w:pStyle w:val="Compact"/>
              <w:jc w:val="left"/>
            </w:pPr>
            <w:r>
              <w:t xml:space="preserve">$15M/year</w:t>
            </w:r>
          </w:p>
        </w:tc>
        <w:tc>
          <w:tcPr/>
          <w:p>
            <w:pPr>
              <w:pStyle w:val="Compact"/>
              <w:jc w:val="left"/>
            </w:pPr>
            <w:r>
              <w:t xml:space="preserve">2026–2030</w:t>
            </w:r>
          </w:p>
        </w:tc>
      </w:tr>
    </w:tbl>
    <w:bookmarkEnd w:id="25"/>
    <w:bookmarkStart w:id="26" w:name="references"/>
    <w:p>
      <w:pPr>
        <w:pStyle w:val="Heading2"/>
      </w:pPr>
      <w:r>
        <w:t xml:space="preserve">References</w:t>
      </w:r>
    </w:p>
    <w:p>
      <w:pPr>
        <w:numPr>
          <w:ilvl w:val="0"/>
          <w:numId w:val="1004"/>
        </w:numPr>
        <w:pStyle w:val="Compact"/>
      </w:pPr>
      <w:r>
        <w:t xml:space="preserve">Bureau of Meteorology (2026).</w:t>
      </w:r>
      <w:r>
        <w:t xml:space="preserve"> </w:t>
      </w:r>
      <w:r>
        <w:rPr>
          <w:iCs/>
          <w:i/>
        </w:rPr>
        <w:t xml:space="preserve">State of the Climate 2026</w:t>
      </w:r>
      <w:r>
        <w:t xml:space="preserve">. Commonwealth of Australia.</w:t>
      </w:r>
    </w:p>
    <w:p>
      <w:pPr>
        <w:numPr>
          <w:ilvl w:val="0"/>
          <w:numId w:val="1004"/>
        </w:numPr>
        <w:pStyle w:val="Compact"/>
      </w:pPr>
      <w:r>
        <w:t xml:space="preserve">CSIRO (2025).</w:t>
      </w:r>
      <w:r>
        <w:t xml:space="preserve"> </w:t>
      </w:r>
      <w:r>
        <w:rPr>
          <w:iCs/>
          <w:i/>
        </w:rPr>
        <w:t xml:space="preserve">Climate Change in Australia — Updated Projections</w:t>
      </w:r>
      <w:r>
        <w:t xml:space="preserve">. CSIRO Publishing.</w:t>
      </w:r>
    </w:p>
    <w:p>
      <w:pPr>
        <w:numPr>
          <w:ilvl w:val="0"/>
          <w:numId w:val="1004"/>
        </w:numPr>
        <w:pStyle w:val="Compact"/>
      </w:pPr>
      <w:r>
        <w:t xml:space="preserve">IPCC (2023).</w:t>
      </w:r>
      <w:r>
        <w:t xml:space="preserve"> </w:t>
      </w:r>
      <w:r>
        <w:rPr>
          <w:iCs/>
          <w:i/>
        </w:rPr>
        <w:t xml:space="preserve">AR6 Synthesis Report</w:t>
      </w:r>
      <w:r>
        <w:t xml:space="preserve">. Intergovernmental Panel on Climate Change.</w:t>
      </w:r>
    </w:p>
    <w:p>
      <w:pPr>
        <w:numPr>
          <w:ilvl w:val="0"/>
          <w:numId w:val="1004"/>
        </w:numPr>
        <w:pStyle w:val="Compact"/>
      </w:pPr>
      <w:r>
        <w:t xml:space="preserve">Productivity Commission (2025).</w:t>
      </w:r>
      <w:r>
        <w:t xml:space="preserve"> </w:t>
      </w:r>
      <w:r>
        <w:rPr>
          <w:iCs/>
          <w:i/>
        </w:rPr>
        <w:t xml:space="preserve">Adapting to Climate Change in Australia</w:t>
      </w:r>
      <w:r>
        <w:t xml:space="preserve">. Australian Government.</w:t>
      </w:r>
    </w:p>
    <w:p>
      <w:pPr>
        <w:numPr>
          <w:ilvl w:val="0"/>
          <w:numId w:val="1004"/>
        </w:numPr>
        <w:pStyle w:val="Compact"/>
      </w:pPr>
      <w:r>
        <w:t xml:space="preserve">CSDR (2026).</w:t>
      </w:r>
      <w:r>
        <w:t xml:space="preserve"> </w:t>
      </w:r>
      <w:r>
        <w:rPr>
          <w:iCs/>
          <w:i/>
        </w:rPr>
        <w:t xml:space="preserve">Quarterly Climate Risk Assessment Q1 2026</w:t>
      </w:r>
      <w:r>
        <w:t xml:space="preserve">. UNSW Sydney.</w:t>
      </w:r>
    </w:p>
    <w:p>
      <w:pPr>
        <w:pStyle w:val="Provenance"/>
      </w:pPr>
      <w:r>
        <w:t xml:space="preserve">Revision 6575e0f · Built 8 June 2026</w:t>
      </w:r>
    </w:p>
    <w:bookmarkEnd w:id="26"/>
    <w:sectPr>
      <w:headerReference r:id="rId9" w:type="default"/>
      <w:footerReference r:id="rId10" w:type="default"/>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http://schemas.openxmlformats.org/wordprocessingml/2006/main">
  <w:p>
    <w:pPr>
      <w:tabs>
        <w:tab w:val="right" w:pos="9638"/>
      </w:tabs>
      <w:rPr>
        <w:rFonts w:ascii="Roboto Mono" w:hAnsi="Roboto Mono"/>
        <w:sz w:val="16"/>
        <w:color w:val="007882"/>
      </w:rPr>
    </w:pPr>
    <w:r>
      <w:rPr>
        <w:rFonts w:ascii="Roboto Mono" w:hAnsi="Roboto Mono"/>
        <w:sz w:val="16"/>
        <w:color w:val="007882"/>
      </w:rPr>
      <w:t xml:space="preserve">CSDR Research Centre</w:t>
    </w:r>
    <w:r>
      <w:rPr>
        <w:rFonts w:ascii="Roboto Mono" w:hAnsi="Roboto Mono"/>
        <w:sz w:val="16"/>
        <w:color w:val="007882"/>
      </w:rPr>
      <w:tab/>
    </w:r>
    <w:r>
      <w:rPr>
        <w:rFonts w:ascii="Roboto Mono" w:hAnsi="Roboto Mono"/>
        <w:sz w:val="16"/>
        <w:color w:val="007882"/>
      </w:rPr>
      <w:t xml:space="preserve">Page </w:t>
    </w:r>
    <w:r>
      <w:rPr>
        <w:rFonts w:ascii="Roboto Mono" w:hAnsi="Roboto Mono"/>
        <w:sz w:val="16"/>
        <w:color w:val="007882"/>
      </w:rPr>
      <w:fldChar w:fldCharType="begin"/>
    </w:r>
    <w:r>
      <w:rPr>
        <w:rFonts w:ascii="Roboto Mono" w:hAnsi="Roboto Mono"/>
        <w:sz w:val="16"/>
        <w:color w:val="007882"/>
      </w:rPr>
      <w:instrText xml:space="preserve"> PAGE </w:instrText>
    </w:r>
    <w:r>
      <w:rPr>
        <w:rFonts w:ascii="Roboto Mono" w:hAnsi="Roboto Mono"/>
        <w:sz w:val="16"/>
        <w:color w:val="007882"/>
      </w:rPr>
      <w:fldChar w:fldCharType="separate"/>
    </w:r>
    <w:r>
      <w:rPr>
        <w:rFonts w:ascii="Roboto Mono" w:hAnsi="Roboto Mono"/>
        <w:sz w:val="16"/>
        <w:color w:val="007882"/>
      </w:rPr>
      <w:t>1</w:t>
    </w:r>
    <w:r>
      <w:rPr>
        <w:rFonts w:ascii="Roboto Mono" w:hAnsi="Roboto Mono"/>
        <w:sz w:val="16"/>
        <w:color w:val="007882"/>
      </w:rPr>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http://schemas.openxmlformats.org/wordprocessingml/2006/main" xmlns:r="http://schemas.openxmlformats.org/officeDocument/2006/relationships">
  <w:p>
    <w:pPr>
      <w:jc w:val="right"/>
      <w:rPr>
        <w:rFonts w:ascii="Roboto Mono" w:hAnsi="Roboto Mono"/>
        <w:sz w:val="16"/>
        <w:color w:val="007882"/>
      </w:rPr>
    </w:pPr>
    <w:r>
      <w:rPr>
        <w:rFonts w:ascii="Roboto Mono" w:hAnsi="Roboto Mono"/>
        <w:sz w:val="16"/>
        <w:color w:val="007882"/>
      </w:rPr>
      <w:t xml:space="preserve">Internal · CSDR</w:t>
    </w:r>
  </w:p>
</w:hdr>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AU"/>
      </w:rPr>
    </w:rPrDefault>
    <w:pPrDefault>
      <w:pPr>
        <w:spacing w:after="200"/>
      </w:pPr>
    </w:pPrDefault>
  </w:docDefaults>
  <w:latentStyles w:count="276" w:defLockedState="0" w:defQFormat="0" w:defSemiHidden="0" w:defUIPriority="0" w:defUnhideWhenUsed="0"/>
  <w:style w:default="1" w:styleId="Normal" w:type="paragraph">
    <w:name w:val="Normal"/>
    <w:rPr>
      <w:rFonts w:ascii="Roboto" w:cs="Roboto" w:hAnsi="Roboto"/>
      <w:sz w:val="22"/>
      <w:szCs w:val="22"/>
    </w:rPr>
    <w:qFormat/>
  </w:style>
  <w:style w:styleId="BodyText" w:type="paragraph">
    <w:name w:val="Body Text"/>
    <w:rPr>
      <w:rFonts w:ascii="Roboto" w:cs="Roboto" w:hAnsi="Roboto"/>
      <w:sz w:val="22"/>
      <w:szCs w:val="22"/>
    </w:rPr>
    <w:basedOn w:val="Normal"/>
    <w:link w:val="BodyTextChar"/>
    <w:qFormat/>
    <w:pPr>
      <w:spacing w:after="180" w:before="180"/>
    </w:pPr>
  </w:style>
  <w:style w:customStyle="1" w:styleId="FirstParagraph" w:type="paragraph">
    <w:name w:val="First Paragraph"/>
    <w:rPr>
      <w:rFonts w:ascii="Roboto" w:cs="Roboto" w:hAnsi="Roboto"/>
      <w:sz w:val="22"/>
      <w:szCs w:val="22"/>
    </w:rPr>
    <w:basedOn w:val="BodyText"/>
    <w:next w:val="BodyText"/>
    <w:qFormat/>
  </w:style>
  <w:style w:customStyle="1" w:styleId="Compact" w:type="paragraph">
    <w:name w:val="Compact"/>
    <w:basedOn w:val="BodyText"/>
    <w:qFormat/>
    <w:pPr>
      <w:spacing w:after="36" w:before="36"/>
    </w:pPr>
  </w:style>
  <w:style w:styleId="Title" w:type="paragraph">
    <w:name w:val="Title"/>
    <w:rPr>
      <w:rFonts w:ascii="Roboto" w:cs="Roboto" w:hAnsi="Roboto"/>
      <w:color w:val="007882"/>
      <w:b/>
      <w:bCs/>
      <w:sz w:val="56"/>
      <w:szCs w:val="56"/>
    </w:rPr>
    <w:basedOn w:val="Normal"/>
    <w:next w:val="BodyText"/>
    <w:link w:val="TitleChar"/>
    <w:uiPriority w:val="10"/>
    <w:qFormat/>
    <w:rsid w:val="00A10FD9"/>
    <w:pPr>
      <w:spacing w:after="80" w:line="240" w:lineRule="auto"/>
      <w:contextualSpacing/>
      <w:jc w:val="center"/>
    </w:p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rPr>
      <w:rFonts w:ascii="Roboto" w:cs="Roboto" w:hAnsi="Roboto"/>
      <w:color w:val="007882"/>
      <w:b/>
      <w:bCs/>
      <w:sz w:val="44"/>
      <w:szCs w:val="44"/>
    </w:rPr>
    <w:basedOn w:val="Normal"/>
    <w:next w:val="BodyText"/>
    <w:link w:val="Heading1Char"/>
    <w:uiPriority w:val="9"/>
    <w:qFormat/>
    <w:rsid w:val="00A10FD9"/>
    <w:pPr>
      <w:keepNext/>
      <w:keepLines/>
      <w:spacing w:after="80" w:before="360"/>
      <w:outlineLvl w:val="0"/>
    </w:pPr>
  </w:style>
  <w:style w:styleId="Heading2" w:type="paragraph">
    <w:name w:val="heading 2"/>
    <w:rPr>
      <w:rFonts w:ascii="Roboto" w:cs="Roboto" w:hAnsi="Roboto"/>
      <w:color w:val="007882"/>
      <w:b/>
      <w:bCs/>
      <w:sz w:val="36"/>
      <w:szCs w:val="36"/>
    </w:rPr>
    <w:basedOn w:val="Normal"/>
    <w:next w:val="BodyText"/>
    <w:link w:val="Heading2Char"/>
    <w:uiPriority w:val="9"/>
    <w:semiHidden/>
    <w:unhideWhenUsed/>
    <w:qFormat/>
    <w:rsid w:val="00A10FD9"/>
    <w:pPr>
      <w:keepNext/>
      <w:keepLines/>
      <w:spacing w:after="80" w:before="160"/>
      <w:outlineLvl w:val="1"/>
    </w:pPr>
  </w:style>
  <w:style w:styleId="Heading3" w:type="paragraph">
    <w:name w:val="heading 3"/>
    <w:rPr>
      <w:rFonts w:ascii="Roboto" w:cs="Roboto" w:hAnsi="Roboto"/>
      <w:color w:val="007882"/>
      <w:sz w:val="28"/>
      <w:szCs w:val="28"/>
    </w:rPr>
    <w:basedOn w:val="Normal"/>
    <w:next w:val="BodyText"/>
    <w:link w:val="Heading3Char"/>
    <w:uiPriority w:val="9"/>
    <w:semiHidden/>
    <w:unhideWhenUsed/>
    <w:qFormat/>
    <w:rsid w:val="00A10FD9"/>
    <w:pPr>
      <w:keepNext/>
      <w:keepLines/>
      <w:spacing w:after="80" w:before="160"/>
      <w:outlineLvl w:val="2"/>
    </w:pPr>
  </w:style>
  <w:style w:styleId="Heading4" w:type="paragraph">
    <w:name w:val="heading 4"/>
    <w:rPr>
      <w:rFonts w:ascii="Roboto" w:cs="Roboto" w:hAnsi="Roboto"/>
      <w:color w:val="3a7d6e"/>
      <w:sz w:val="24"/>
      <w:szCs w:val="24"/>
    </w:rPr>
    <w:basedOn w:val="Normal"/>
    <w:next w:val="BodyText"/>
    <w:link w:val="Heading4Char"/>
    <w:uiPriority w:val="9"/>
    <w:semiHidden/>
    <w:unhideWhenUsed/>
    <w:qFormat/>
    <w:rsid w:val="00A10FD9"/>
    <w:pPr>
      <w:keepNext/>
      <w:keepLines/>
      <w:spacing w:after="40" w:before="80"/>
      <w:outlineLvl w:val="3"/>
    </w:p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rPr>
      <w:rFonts w:ascii="Roboto Mono" w:cs="Roboto Mono" w:hAnsi="Roboto Mono"/>
      <w:sz w:val="18"/>
      <w:szCs w:val="18"/>
    </w:rPr>
    <w:basedOn w:val="BodyTextCha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rPr>
      <w:rFonts w:ascii="Roboto" w:cs="Roboto" w:hAnsi="Roboto"/>
      <w:color w:val="007882"/>
      <w:b/>
      <w:bCs/>
      <w:sz w:val="28"/>
      <w:szCs w:val="28"/>
    </w:rPr>
    <w:basedOn w:val="Heading1"/>
    <w:next w:val="BodyText"/>
    <w:uiPriority w:val="39"/>
    <w:unhideWhenUsed/>
    <w:qFormat/>
    <w:pPr>
      <w:spacing w:before="240" w:line="259" w:lineRule="auto"/>
      <w:outlineLvl w:val="9"/>
    </w:pPr>
  </w:style>
  <w:style w:type="paragraph" w:customStyle="1" w:styleId="Provenance">
    <w:name w:val="Provenance"/>
    <w:basedOn w:val="BodyText"/>
    <w:qFormat/>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Brief — Climate Adaptation in Australia</dc:title>
  <dc:creator/>
  <cp:keywords/>
  <dcterms:created xsi:type="dcterms:W3CDTF">2026-06-08T00:23:07Z</dcterms:created>
  <dcterms:modified xsi:type="dcterms:W3CDTF">2026-06-08T00:23:07Z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type">
    <vt:lpwstr>report</vt:lpwstr>
  </property>
  <property fmtid="{D5CDD505-2E9C-101B-9397-08002B2CF9AE}" pid="3" name="outputs">
    <vt:lpwstr/>
  </property>
  <property fmtid="{D5CDD505-2E9C-101B-9397-08002B2CF9AE}" pid="4" name="project">
    <vt:lpwstr>climate-risk</vt:lpwstr>
  </property>
  <property fmtid="{D5CDD505-2E9C-101B-9397-08002B2CF9AE}" pid="5" name="r2_asset_path">
    <vt:lpwstr>assets/climate-risk</vt:lpwstr>
  </property>
  <property fmtid="{D5CDD505-2E9C-101B-9397-08002B2CF9AE}" pid="6" name="sidebar">
    <vt:lpwstr/>
  </property>
  <property fmtid="{D5CDD505-2E9C-101B-9397-08002B2CF9AE}" pid="7" name="sidebar_category">
    <vt:lpwstr>projects</vt:lpwstr>
  </property>
  <property fmtid="{D5CDD505-2E9C-101B-9397-08002B2CF9AE}" pid="8" name="status">
    <vt:lpwstr>published</vt:lpwstr>
  </property>
  <property fmtid="{D5CDD505-2E9C-101B-9397-08002B2CF9AE}" pid="9" name="visibility">
    <vt:lpwstr>public</vt:lpwstr>
  </property>
</Properties>
</file>